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4C74" w14:textId="7269516C" w:rsidR="00A120B9" w:rsidRPr="00A805DA" w:rsidRDefault="00B916C7" w:rsidP="00AF6465">
      <w:pPr>
        <w:spacing w:after="0"/>
        <w:jc w:val="center"/>
        <w:rPr>
          <w:b/>
          <w:bCs/>
          <w:sz w:val="36"/>
          <w:szCs w:val="36"/>
        </w:rPr>
      </w:pPr>
      <w:r w:rsidRPr="00A805DA">
        <w:rPr>
          <w:b/>
          <w:bCs/>
          <w:sz w:val="36"/>
          <w:szCs w:val="36"/>
        </w:rPr>
        <w:t xml:space="preserve">CCTP </w:t>
      </w:r>
      <w:r>
        <w:rPr>
          <w:b/>
          <w:bCs/>
          <w:sz w:val="36"/>
          <w:szCs w:val="36"/>
        </w:rPr>
        <w:t xml:space="preserve">IRVE pour </w:t>
      </w:r>
      <w:r w:rsidR="00AF6465">
        <w:rPr>
          <w:b/>
          <w:bCs/>
          <w:sz w:val="36"/>
          <w:szCs w:val="36"/>
        </w:rPr>
        <w:t>résidentiel individuel</w:t>
      </w:r>
    </w:p>
    <w:p w14:paraId="54A7954F" w14:textId="056A01D9" w:rsidR="001F1FE3" w:rsidRDefault="001F1FE3"/>
    <w:p w14:paraId="63EBE800" w14:textId="77777777" w:rsidR="00053D3B" w:rsidRDefault="00053D3B"/>
    <w:p w14:paraId="5A4AD56A" w14:textId="0820EE85" w:rsidR="009527DB" w:rsidRPr="00053D3B" w:rsidRDefault="009527DB" w:rsidP="001F1FE3">
      <w:pPr>
        <w:spacing w:after="0"/>
        <w:jc w:val="both"/>
        <w:rPr>
          <w:b/>
          <w:bCs/>
        </w:rPr>
      </w:pPr>
      <w:r w:rsidRPr="00053D3B">
        <w:rPr>
          <w:b/>
          <w:bCs/>
        </w:rPr>
        <w:t xml:space="preserve">1. Infrastructure Recharge </w:t>
      </w:r>
      <w:r w:rsidR="00053D3B" w:rsidRPr="00053D3B">
        <w:rPr>
          <w:b/>
          <w:bCs/>
        </w:rPr>
        <w:t>V</w:t>
      </w:r>
      <w:r w:rsidRPr="00053D3B">
        <w:rPr>
          <w:b/>
          <w:bCs/>
        </w:rPr>
        <w:t xml:space="preserve">éhicule </w:t>
      </w:r>
      <w:r w:rsidR="00053D3B" w:rsidRPr="00053D3B">
        <w:rPr>
          <w:b/>
          <w:bCs/>
        </w:rPr>
        <w:t>E</w:t>
      </w:r>
      <w:r w:rsidRPr="00053D3B">
        <w:rPr>
          <w:b/>
          <w:bCs/>
        </w:rPr>
        <w:t xml:space="preserve">lectrique </w:t>
      </w:r>
    </w:p>
    <w:p w14:paraId="03EA2871" w14:textId="6C4AF39F" w:rsidR="009527DB" w:rsidRPr="00DD0457" w:rsidRDefault="009527DB" w:rsidP="001F1FE3">
      <w:pPr>
        <w:spacing w:after="0"/>
        <w:jc w:val="both"/>
      </w:pPr>
      <w:r w:rsidRPr="00DD0457">
        <w:t xml:space="preserve">Les installations de recharge des véhicules électriques ou hybrides rechargeables </w:t>
      </w:r>
      <w:r w:rsidR="00D85C76">
        <w:t xml:space="preserve">en résidentiel individuel </w:t>
      </w:r>
      <w:r w:rsidRPr="00DD0457">
        <w:t xml:space="preserve">sont réalisées </w:t>
      </w:r>
      <w:r w:rsidR="00D8330C">
        <w:t>dans le respect de la norme d’installation NF C 15-100</w:t>
      </w:r>
      <w:r w:rsidR="00AE397B">
        <w:t xml:space="preserve"> et principalement de la norme NF C 15-</w:t>
      </w:r>
      <w:r w:rsidR="005363AF">
        <w:t>100-</w:t>
      </w:r>
      <w:r w:rsidR="00AE397B">
        <w:t>7-722</w:t>
      </w:r>
      <w:r w:rsidRPr="00DD0457">
        <w:t xml:space="preserve">. </w:t>
      </w:r>
    </w:p>
    <w:p w14:paraId="491E1DDD" w14:textId="77777777" w:rsidR="009527DB" w:rsidRPr="00DD0457" w:rsidRDefault="009527DB" w:rsidP="001F1FE3">
      <w:pPr>
        <w:spacing w:after="0"/>
        <w:jc w:val="both"/>
      </w:pPr>
    </w:p>
    <w:p w14:paraId="1526B45A" w14:textId="6CA8B7C0" w:rsidR="009527DB" w:rsidRPr="00461EA2" w:rsidRDefault="009527DB" w:rsidP="00461EA2">
      <w:pPr>
        <w:spacing w:after="0"/>
        <w:jc w:val="both"/>
        <w:rPr>
          <w:b/>
          <w:bCs/>
        </w:rPr>
      </w:pPr>
      <w:r w:rsidRPr="00053D3B">
        <w:rPr>
          <w:b/>
          <w:bCs/>
        </w:rPr>
        <w:t xml:space="preserve">1.1. Documents de référence IRVE </w:t>
      </w:r>
      <w:r w:rsidRPr="00DD0457">
        <w:t xml:space="preserve"> </w:t>
      </w:r>
    </w:p>
    <w:p w14:paraId="7DB02B79" w14:textId="35BF267E" w:rsidR="009527DB" w:rsidRPr="00DD0457" w:rsidRDefault="009527DB" w:rsidP="00512A16">
      <w:pPr>
        <w:pStyle w:val="Paragraphedeliste"/>
        <w:numPr>
          <w:ilvl w:val="0"/>
          <w:numId w:val="3"/>
        </w:numPr>
        <w:spacing w:after="0"/>
        <w:jc w:val="both"/>
      </w:pPr>
      <w:r w:rsidRPr="00DD0457">
        <w:t xml:space="preserve">Décret 2017-26 du 12 janvier 2017 </w:t>
      </w:r>
      <w:r w:rsidRPr="00DD0457">
        <w:rPr>
          <w:rFonts w:cstheme="minorHAnsi"/>
          <w:shd w:val="clear" w:color="auto" w:fill="FFFFFF"/>
        </w:rPr>
        <w:t>relatif aux infrastructures de recharge pour véhicules électriques</w:t>
      </w:r>
      <w:r w:rsidRPr="00DD0457">
        <w:t xml:space="preserve"> </w:t>
      </w:r>
    </w:p>
    <w:p w14:paraId="670C4466" w14:textId="25246041" w:rsidR="009527DB" w:rsidRDefault="001F1FE3" w:rsidP="00BB1813">
      <w:pPr>
        <w:pStyle w:val="Paragraphedeliste"/>
        <w:numPr>
          <w:ilvl w:val="0"/>
          <w:numId w:val="3"/>
        </w:numPr>
        <w:spacing w:after="0"/>
        <w:jc w:val="both"/>
      </w:pPr>
      <w:r w:rsidRPr="00DD0457">
        <w:t>N</w:t>
      </w:r>
      <w:r w:rsidR="009527DB" w:rsidRPr="00DD0457">
        <w:t xml:space="preserve">orme NF C 15-100 </w:t>
      </w:r>
    </w:p>
    <w:p w14:paraId="559BF435" w14:textId="1C9C8479" w:rsidR="00512A16" w:rsidRDefault="00512A16" w:rsidP="00BB1813">
      <w:pPr>
        <w:pStyle w:val="Paragraphedeliste"/>
        <w:numPr>
          <w:ilvl w:val="0"/>
          <w:numId w:val="3"/>
        </w:numPr>
        <w:spacing w:after="0"/>
        <w:jc w:val="both"/>
      </w:pPr>
      <w:r>
        <w:t>Norme NF C 15-100-7-722</w:t>
      </w:r>
    </w:p>
    <w:p w14:paraId="05F9CFE4" w14:textId="0D94BF3A" w:rsidR="00754085" w:rsidRDefault="00754085" w:rsidP="00BB1813">
      <w:pPr>
        <w:pStyle w:val="Paragraphedeliste"/>
        <w:numPr>
          <w:ilvl w:val="0"/>
          <w:numId w:val="3"/>
        </w:numPr>
        <w:spacing w:after="0"/>
        <w:jc w:val="both"/>
      </w:pPr>
      <w:r>
        <w:t xml:space="preserve">Norme </w:t>
      </w:r>
      <w:r w:rsidR="00D34204">
        <w:t>IEC</w:t>
      </w:r>
      <w:r>
        <w:t xml:space="preserve"> 61851-1</w:t>
      </w:r>
      <w:r w:rsidR="00744055">
        <w:t xml:space="preserve"> ed.3</w:t>
      </w:r>
    </w:p>
    <w:p w14:paraId="2F4A0495" w14:textId="67464CB1" w:rsidR="00744055" w:rsidRDefault="00744055" w:rsidP="00BB1813">
      <w:pPr>
        <w:pStyle w:val="Paragraphedeliste"/>
        <w:numPr>
          <w:ilvl w:val="0"/>
          <w:numId w:val="3"/>
        </w:numPr>
        <w:spacing w:after="0"/>
        <w:jc w:val="both"/>
      </w:pPr>
      <w:r>
        <w:t xml:space="preserve">Norme </w:t>
      </w:r>
      <w:r w:rsidR="00D34204">
        <w:t>IEC 62196-2</w:t>
      </w:r>
    </w:p>
    <w:p w14:paraId="6F0ACE59" w14:textId="073ADF3B" w:rsidR="00865AE4" w:rsidRPr="00DD0457" w:rsidRDefault="00865AE4" w:rsidP="00BB1813">
      <w:pPr>
        <w:pStyle w:val="Paragraphedeliste"/>
        <w:numPr>
          <w:ilvl w:val="0"/>
          <w:numId w:val="3"/>
        </w:numPr>
        <w:spacing w:after="0"/>
        <w:jc w:val="both"/>
      </w:pPr>
      <w:r>
        <w:t>Norme NF C 61-</w:t>
      </w:r>
      <w:r w:rsidR="008E3AE6">
        <w:t>314</w:t>
      </w:r>
    </w:p>
    <w:p w14:paraId="5CA8DEE9" w14:textId="77777777" w:rsidR="009527DB" w:rsidRPr="00DD0457" w:rsidRDefault="009527DB" w:rsidP="009527DB"/>
    <w:p w14:paraId="77A399A9" w14:textId="14BC0429" w:rsidR="009527DB" w:rsidRPr="00053D3B" w:rsidRDefault="009527DB" w:rsidP="00364998">
      <w:pPr>
        <w:spacing w:after="0"/>
        <w:jc w:val="both"/>
        <w:rPr>
          <w:b/>
          <w:bCs/>
        </w:rPr>
      </w:pPr>
      <w:r w:rsidRPr="00053D3B">
        <w:rPr>
          <w:b/>
          <w:bCs/>
        </w:rPr>
        <w:t xml:space="preserve">1.2. Puissance à installer : </w:t>
      </w:r>
    </w:p>
    <w:p w14:paraId="15BEC1A7" w14:textId="33A05E48" w:rsidR="003A02B1" w:rsidRDefault="000722F1" w:rsidP="00364998">
      <w:pPr>
        <w:spacing w:after="0"/>
        <w:jc w:val="both"/>
      </w:pPr>
      <w:r>
        <w:t xml:space="preserve">La puissance </w:t>
      </w:r>
      <w:r w:rsidR="00791226">
        <w:t xml:space="preserve">de référence à retenir pour le point de charge sera comprise entre </w:t>
      </w:r>
      <w:r w:rsidR="001558B5">
        <w:t>3,7</w:t>
      </w:r>
      <w:r w:rsidR="00791226">
        <w:t xml:space="preserve"> </w:t>
      </w:r>
      <w:r w:rsidR="00986F59">
        <w:t>k</w:t>
      </w:r>
      <w:r w:rsidR="00791226">
        <w:t xml:space="preserve">W et 7,4 </w:t>
      </w:r>
      <w:r w:rsidR="00986F59">
        <w:t>kW</w:t>
      </w:r>
      <w:r w:rsidR="003A02B1">
        <w:t>.</w:t>
      </w:r>
    </w:p>
    <w:p w14:paraId="40942429" w14:textId="77777777" w:rsidR="005403B1" w:rsidRDefault="003A02B1" w:rsidP="00364998">
      <w:pPr>
        <w:spacing w:after="0"/>
        <w:jc w:val="both"/>
      </w:pPr>
      <w:r>
        <w:t xml:space="preserve">Afin d’éviter tout dépassement du contrat énergétique souscrit, </w:t>
      </w:r>
      <w:r w:rsidR="005403B1">
        <w:t>le point de charge devra être pilotable.</w:t>
      </w:r>
    </w:p>
    <w:p w14:paraId="0CACD394" w14:textId="58BE5A53" w:rsidR="00483EC5" w:rsidRDefault="00BC063D" w:rsidP="00364998">
      <w:pPr>
        <w:spacing w:after="0"/>
        <w:jc w:val="both"/>
      </w:pPr>
      <w:r>
        <w:t>Sa puissance devra pouvoir être délest</w:t>
      </w:r>
      <w:r w:rsidR="00364998">
        <w:t>ée</w:t>
      </w:r>
      <w:r>
        <w:t xml:space="preserve"> soit en </w:t>
      </w:r>
      <w:r w:rsidR="00364998">
        <w:t xml:space="preserve">fonctionnement ON/OFF, soit </w:t>
      </w:r>
      <w:r w:rsidR="00647D04">
        <w:t>sous forme d’une</w:t>
      </w:r>
      <w:r w:rsidR="00364998">
        <w:t xml:space="preserve"> modulation de charge.</w:t>
      </w:r>
      <w:r w:rsidR="003A02B1">
        <w:t xml:space="preserve"> </w:t>
      </w:r>
      <w:r w:rsidR="00986F59">
        <w:t xml:space="preserve"> </w:t>
      </w:r>
    </w:p>
    <w:p w14:paraId="5D494D77" w14:textId="77777777" w:rsidR="00483EC5" w:rsidRDefault="00483EC5" w:rsidP="00364998">
      <w:pPr>
        <w:spacing w:after="0"/>
        <w:jc w:val="both"/>
      </w:pPr>
    </w:p>
    <w:p w14:paraId="3E3EFDDB" w14:textId="16D6D497" w:rsidR="00483EC5" w:rsidRPr="00053D3B" w:rsidRDefault="00483EC5" w:rsidP="00483EC5">
      <w:pPr>
        <w:rPr>
          <w:b/>
          <w:bCs/>
        </w:rPr>
      </w:pPr>
      <w:r w:rsidRPr="00053D3B">
        <w:rPr>
          <w:b/>
          <w:bCs/>
        </w:rPr>
        <w:t xml:space="preserve">1.3. Installation de </w:t>
      </w:r>
      <w:r w:rsidR="00D47D5B">
        <w:rPr>
          <w:b/>
          <w:bCs/>
        </w:rPr>
        <w:t>dispositifs</w:t>
      </w:r>
      <w:r w:rsidRPr="00053D3B">
        <w:rPr>
          <w:b/>
          <w:bCs/>
        </w:rPr>
        <w:t xml:space="preserve"> de recharge </w:t>
      </w:r>
      <w:r w:rsidR="003C105D">
        <w:rPr>
          <w:b/>
          <w:bCs/>
        </w:rPr>
        <w:t>pour</w:t>
      </w:r>
      <w:r w:rsidRPr="00053D3B">
        <w:rPr>
          <w:b/>
          <w:bCs/>
        </w:rPr>
        <w:t xml:space="preserve"> véhicules électriques </w:t>
      </w:r>
    </w:p>
    <w:p w14:paraId="53BABF05" w14:textId="42FF271D" w:rsidR="00483EC5" w:rsidRDefault="00535333" w:rsidP="008A6BB6">
      <w:pPr>
        <w:spacing w:after="0"/>
        <w:jc w:val="both"/>
      </w:pPr>
      <w:r>
        <w:t>L’entreprise d’électricité aura à sa charge l’installation de dispositifs de recharge pour véhicules électriques et hybrides rechargeables</w:t>
      </w:r>
      <w:r w:rsidR="00926D9C">
        <w:t>.</w:t>
      </w:r>
    </w:p>
    <w:p w14:paraId="0FBC0B00" w14:textId="2DD855C8" w:rsidR="00926D9C" w:rsidRPr="00C07C18" w:rsidRDefault="0024717A" w:rsidP="003062A8">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Pr>
          <w:rFonts w:asciiTheme="minorHAnsi" w:hAnsiTheme="minorHAnsi" w:cstheme="minorHAnsi"/>
          <w:sz w:val="22"/>
          <w:szCs w:val="22"/>
        </w:rPr>
        <w:t>Conformément au</w:t>
      </w:r>
      <w:r w:rsidR="00926D9C" w:rsidRPr="00782DFB">
        <w:rPr>
          <w:rFonts w:asciiTheme="minorHAnsi" w:hAnsiTheme="minorHAnsi" w:cstheme="minorHAnsi"/>
          <w:sz w:val="22"/>
          <w:szCs w:val="22"/>
        </w:rPr>
        <w:t xml:space="preserve"> décret </w:t>
      </w:r>
      <w:r w:rsidR="00F86B78" w:rsidRPr="00782DFB">
        <w:rPr>
          <w:rFonts w:asciiTheme="minorHAnsi" w:hAnsiTheme="minorHAnsi" w:cstheme="minorHAnsi"/>
          <w:sz w:val="22"/>
          <w:szCs w:val="22"/>
        </w:rPr>
        <w:t xml:space="preserve">n°2017-26 du 12 janvier 2017, </w:t>
      </w:r>
      <w:r w:rsidR="00F41DD8" w:rsidRPr="00C07C18">
        <w:rPr>
          <w:rFonts w:asciiTheme="minorHAnsi" w:hAnsiTheme="minorHAnsi" w:cstheme="minorHAnsi"/>
          <w:i/>
          <w:iCs/>
          <w:color w:val="000000"/>
          <w:sz w:val="22"/>
          <w:szCs w:val="22"/>
        </w:rPr>
        <w:t>les points de recharge pour véhicules électriques sont installés par des professionnels habilités conformément à l'article R. 4544-9 du code du travail.</w:t>
      </w:r>
      <w:r w:rsidR="00F41DD8" w:rsidRPr="00C07C18">
        <w:rPr>
          <w:rFonts w:asciiTheme="minorHAnsi" w:hAnsiTheme="minorHAnsi" w:cstheme="minorHAnsi"/>
          <w:i/>
          <w:iCs/>
          <w:color w:val="000000"/>
          <w:sz w:val="22"/>
          <w:szCs w:val="22"/>
        </w:rPr>
        <w:br/>
        <w:t>A l'exclusion des infrastructures d'une puissance totale inférieure ou égale à 3,7 kW installées dans un bâtiment d'habitation privé ou dans une dépendance d'un bâtiment d'habitation privé ou dont la fonction principale n'est pas de recharger des véhicules électriques et qui ne sont pas accessibles au public, les infrastructures de recharge sont installées par des professionnels titulaires d'une qualification pour l'installation desdites infrastructures de recharge délivrée par un organisme de qualification accrédité.</w:t>
      </w:r>
    </w:p>
    <w:p w14:paraId="5FDD66BE" w14:textId="77777777" w:rsidR="007447E7" w:rsidRDefault="007447E7" w:rsidP="003062A8">
      <w:pPr>
        <w:spacing w:after="0"/>
        <w:jc w:val="both"/>
      </w:pPr>
    </w:p>
    <w:p w14:paraId="739BB51C" w14:textId="4AFA3674" w:rsidR="007447E7" w:rsidRPr="00053D3B" w:rsidRDefault="007447E7" w:rsidP="008A6BB6">
      <w:pPr>
        <w:spacing w:after="0"/>
        <w:jc w:val="both"/>
        <w:rPr>
          <w:b/>
          <w:bCs/>
        </w:rPr>
      </w:pPr>
      <w:r w:rsidRPr="00053D3B">
        <w:rPr>
          <w:b/>
          <w:bCs/>
        </w:rPr>
        <w:t>1.3.1. Le</w:t>
      </w:r>
      <w:r w:rsidR="00DC5089">
        <w:rPr>
          <w:b/>
          <w:bCs/>
        </w:rPr>
        <w:t>s canalisations</w:t>
      </w:r>
    </w:p>
    <w:p w14:paraId="345F8B68" w14:textId="77777777" w:rsidR="007B2E28" w:rsidRDefault="00483EC5" w:rsidP="008A6BB6">
      <w:pPr>
        <w:spacing w:after="0"/>
        <w:jc w:val="both"/>
      </w:pPr>
      <w:r w:rsidRPr="00DD0457">
        <w:t>L</w:t>
      </w:r>
      <w:r w:rsidR="008251A4">
        <w:t xml:space="preserve">’installateur prévoira </w:t>
      </w:r>
      <w:r w:rsidR="007B2E28">
        <w:t xml:space="preserve">l’installation de canalisations destinées : </w:t>
      </w:r>
    </w:p>
    <w:p w14:paraId="361BACF3" w14:textId="718F3E75" w:rsidR="00611684" w:rsidRDefault="00611684" w:rsidP="00F53F75">
      <w:pPr>
        <w:pStyle w:val="Paragraphedeliste"/>
        <w:numPr>
          <w:ilvl w:val="0"/>
          <w:numId w:val="5"/>
        </w:numPr>
        <w:spacing w:after="0"/>
        <w:jc w:val="both"/>
      </w:pPr>
      <w:r>
        <w:t>A</w:t>
      </w:r>
      <w:r w:rsidR="00EC62B3">
        <w:t>ux courants forts</w:t>
      </w:r>
      <w:r>
        <w:t xml:space="preserve"> </w:t>
      </w:r>
    </w:p>
    <w:p w14:paraId="166597D7" w14:textId="5DE80DBE" w:rsidR="00087D6C" w:rsidRDefault="003A76C9" w:rsidP="008A6BB6">
      <w:pPr>
        <w:spacing w:after="0"/>
        <w:jc w:val="both"/>
      </w:pPr>
      <w:r w:rsidRPr="00F53F75">
        <w:t xml:space="preserve">Alimentation de la borne de recharge. Pour une borne de recharge 7,4 KW, prévoir </w:t>
      </w:r>
      <w:r w:rsidR="0011136E" w:rsidRPr="00F53F75">
        <w:t>un câble</w:t>
      </w:r>
      <w:r w:rsidR="00F345F3" w:rsidRPr="00F53F75">
        <w:t xml:space="preserve"> 3G10</w:t>
      </w:r>
      <w:r w:rsidR="0011136E" w:rsidRPr="00F53F75">
        <w:t xml:space="preserve"> d’une section</w:t>
      </w:r>
      <w:r w:rsidR="00C04192" w:rsidRPr="00F53F75">
        <w:t xml:space="preserve"> de</w:t>
      </w:r>
      <w:r w:rsidR="0098748B" w:rsidRPr="00F53F75">
        <w:t xml:space="preserve"> 10mm²</w:t>
      </w:r>
      <w:r w:rsidR="00C04192" w:rsidRPr="00F53F75">
        <w:t xml:space="preserve"> minimum</w:t>
      </w:r>
      <w:r w:rsidR="0098748B" w:rsidRPr="00F53F75">
        <w:t xml:space="preserve">. </w:t>
      </w:r>
      <w:r w:rsidR="006E1DF3" w:rsidRPr="00F53F75">
        <w:t>Pour une borne de recharge de 3,7</w:t>
      </w:r>
      <w:r w:rsidR="007A7C6E" w:rsidRPr="00F53F75">
        <w:t xml:space="preserve"> KW, prévoir un câble </w:t>
      </w:r>
      <w:r w:rsidR="00E76F01" w:rsidRPr="00F53F75">
        <w:t>3G2,5</w:t>
      </w:r>
      <w:r w:rsidR="00FD0EC7" w:rsidRPr="00F53F75">
        <w:t xml:space="preserve"> </w:t>
      </w:r>
      <w:r w:rsidR="007A7C6E" w:rsidRPr="00F53F75">
        <w:t xml:space="preserve">d’une section </w:t>
      </w:r>
      <w:r w:rsidR="0002210B" w:rsidRPr="00F53F75">
        <w:t xml:space="preserve">de 2,5mm² </w:t>
      </w:r>
      <w:r w:rsidR="00F345F3" w:rsidRPr="00F53F75">
        <w:t>minimum.</w:t>
      </w:r>
      <w:r w:rsidR="00B90CDC">
        <w:t xml:space="preserve"> </w:t>
      </w:r>
      <w:r w:rsidR="00020C43">
        <w:t>(</w:t>
      </w:r>
      <w:r w:rsidR="00313851">
        <w:t>La section de câble est susceptible d’être adaptée en fonction de la longue</w:t>
      </w:r>
      <w:r w:rsidR="00020C43">
        <w:t>ur du câble utilisé).</w:t>
      </w:r>
    </w:p>
    <w:p w14:paraId="69DF19CD" w14:textId="0B5E13D7" w:rsidR="00500746" w:rsidRDefault="00006FC7" w:rsidP="008A6BB6">
      <w:pPr>
        <w:spacing w:after="0"/>
        <w:jc w:val="both"/>
      </w:pPr>
      <w:r>
        <w:t>Prévoir une canalisation supplémentaire pour l’ajout éventuel d’un point de charge</w:t>
      </w:r>
      <w:r w:rsidR="00D30AB4">
        <w:t>.</w:t>
      </w:r>
    </w:p>
    <w:p w14:paraId="27CB6B0A" w14:textId="5017C33D" w:rsidR="00483EC5" w:rsidRDefault="00611684" w:rsidP="00F53F75">
      <w:pPr>
        <w:pStyle w:val="Paragraphedeliste"/>
        <w:numPr>
          <w:ilvl w:val="0"/>
          <w:numId w:val="5"/>
        </w:numPr>
        <w:spacing w:after="0"/>
        <w:jc w:val="both"/>
      </w:pPr>
      <w:r>
        <w:t>Au</w:t>
      </w:r>
      <w:r w:rsidR="00EC62B3">
        <w:t>x</w:t>
      </w:r>
      <w:r>
        <w:t xml:space="preserve"> courant</w:t>
      </w:r>
      <w:r w:rsidR="00EC62B3">
        <w:t>s</w:t>
      </w:r>
      <w:r>
        <w:t xml:space="preserve"> </w:t>
      </w:r>
      <w:r w:rsidR="00EC62B3">
        <w:t>faibles</w:t>
      </w:r>
    </w:p>
    <w:p w14:paraId="3E25A8D6" w14:textId="51BDC19B" w:rsidR="000C136D" w:rsidRDefault="000C136D" w:rsidP="008A6BB6">
      <w:pPr>
        <w:spacing w:after="0"/>
        <w:jc w:val="both"/>
      </w:pPr>
      <w:r>
        <w:t xml:space="preserve">Pilotage filaire </w:t>
      </w:r>
      <w:r w:rsidR="00A24C6D">
        <w:t xml:space="preserve">de la puissance </w:t>
      </w:r>
      <w:r>
        <w:t>via la TIC</w:t>
      </w:r>
      <w:r w:rsidR="00BB6818">
        <w:t xml:space="preserve"> ou via un </w:t>
      </w:r>
      <w:r w:rsidR="002A3881">
        <w:t>appareil équivalent</w:t>
      </w:r>
      <w:r w:rsidR="0027067A">
        <w:t xml:space="preserve"> via minimum un câble 4 paires cat 6A S</w:t>
      </w:r>
      <w:r w:rsidR="00FC7020">
        <w:t xml:space="preserve">FTP ou </w:t>
      </w:r>
      <w:proofErr w:type="spellStart"/>
      <w:r w:rsidR="00FC7020">
        <w:t>Belden</w:t>
      </w:r>
      <w:proofErr w:type="spellEnd"/>
      <w:r w:rsidR="00FC7020">
        <w:t xml:space="preserve"> 9842.</w:t>
      </w:r>
    </w:p>
    <w:p w14:paraId="576EDB47" w14:textId="085F42F0" w:rsidR="003162C6" w:rsidRDefault="003162C6" w:rsidP="008A6BB6">
      <w:pPr>
        <w:spacing w:after="0"/>
        <w:jc w:val="both"/>
      </w:pPr>
      <w:r w:rsidRPr="00FC7020">
        <w:t xml:space="preserve">Connexion </w:t>
      </w:r>
      <w:proofErr w:type="spellStart"/>
      <w:r w:rsidRPr="00FC7020">
        <w:t>éthernet</w:t>
      </w:r>
      <w:proofErr w:type="spellEnd"/>
      <w:r w:rsidRPr="00FC7020">
        <w:t xml:space="preserve"> </w:t>
      </w:r>
      <w:r w:rsidR="009E25A6" w:rsidRPr="00FC7020">
        <w:t xml:space="preserve">à la box internet via </w:t>
      </w:r>
      <w:r w:rsidR="007F7E5F" w:rsidRPr="00FC7020">
        <w:t xml:space="preserve">minimum </w:t>
      </w:r>
      <w:r w:rsidR="009E25A6" w:rsidRPr="00FC7020">
        <w:t xml:space="preserve">un câble </w:t>
      </w:r>
      <w:r w:rsidR="007257F4" w:rsidRPr="00FC7020">
        <w:t>4 paires</w:t>
      </w:r>
      <w:r w:rsidR="009642E4" w:rsidRPr="00FC7020">
        <w:t xml:space="preserve"> </w:t>
      </w:r>
      <w:r w:rsidR="003F7A8E" w:rsidRPr="00FC7020">
        <w:t>cat 6</w:t>
      </w:r>
      <w:r w:rsidR="009924BF" w:rsidRPr="00FC7020">
        <w:t>A</w:t>
      </w:r>
      <w:r w:rsidR="009924BF">
        <w:t xml:space="preserve"> SFTP</w:t>
      </w:r>
      <w:r w:rsidR="007F7E5F">
        <w:t>.</w:t>
      </w:r>
    </w:p>
    <w:p w14:paraId="4C42A13E" w14:textId="29479DB6" w:rsidR="0036622E" w:rsidRDefault="0036622E" w:rsidP="008A6BB6">
      <w:pPr>
        <w:spacing w:after="0"/>
        <w:jc w:val="both"/>
      </w:pPr>
      <w:r>
        <w:t xml:space="preserve">Prévoir </w:t>
      </w:r>
      <w:r w:rsidR="00562B59">
        <w:t xml:space="preserve">une réserve pour </w:t>
      </w:r>
      <w:r w:rsidR="007F4BF1">
        <w:t>l’ajout éventuel d’un point de charge.</w:t>
      </w:r>
    </w:p>
    <w:p w14:paraId="715804CE" w14:textId="77777777" w:rsidR="00A24C6D" w:rsidRDefault="00A24C6D" w:rsidP="008A6BB6">
      <w:pPr>
        <w:spacing w:after="0"/>
        <w:jc w:val="both"/>
      </w:pPr>
    </w:p>
    <w:p w14:paraId="0B63171F" w14:textId="77777777" w:rsidR="003F4E66" w:rsidRDefault="003F4E66" w:rsidP="008A6BB6">
      <w:pPr>
        <w:spacing w:after="0"/>
        <w:jc w:val="both"/>
      </w:pPr>
    </w:p>
    <w:p w14:paraId="658E956C" w14:textId="0CB4F229" w:rsidR="007447E7" w:rsidRPr="00053D3B" w:rsidRDefault="007447E7" w:rsidP="008A6BB6">
      <w:pPr>
        <w:spacing w:after="0"/>
        <w:jc w:val="both"/>
        <w:rPr>
          <w:b/>
          <w:bCs/>
        </w:rPr>
      </w:pPr>
      <w:r w:rsidRPr="00053D3B">
        <w:rPr>
          <w:b/>
          <w:bCs/>
        </w:rPr>
        <w:t>1.3.2. Les dispositifs de recharge pour véhicules électriques ou hybrides rechargeables</w:t>
      </w:r>
    </w:p>
    <w:p w14:paraId="5318CC5F" w14:textId="344B7A82" w:rsidR="00736159" w:rsidRDefault="007447E7" w:rsidP="007447E7">
      <w:pPr>
        <w:spacing w:after="0"/>
        <w:jc w:val="both"/>
      </w:pPr>
      <w:r>
        <w:t xml:space="preserve">L’entreprise d’électricité aura à sa charge l’installation de </w:t>
      </w:r>
      <w:r w:rsidR="000B3D46">
        <w:t>dispositifs de recharge pour</w:t>
      </w:r>
      <w:r w:rsidR="009430B4">
        <w:t xml:space="preserve"> véhicules électriques et hybrides rechargeables</w:t>
      </w:r>
      <w:r>
        <w:t>.</w:t>
      </w:r>
      <w:r w:rsidR="006A4A97">
        <w:t xml:space="preserve"> </w:t>
      </w:r>
      <w:r w:rsidR="009430B4">
        <w:t>Ces di</w:t>
      </w:r>
      <w:r w:rsidR="007A12B7">
        <w:t xml:space="preserve">spositifs seront </w:t>
      </w:r>
      <w:r w:rsidR="006A4A97">
        <w:t>monophasés</w:t>
      </w:r>
      <w:r w:rsidR="00200428">
        <w:t xml:space="preserve"> et devront offrir la possibilité de se recharger en mode 2</w:t>
      </w:r>
      <w:r w:rsidR="006A4A97">
        <w:t>.</w:t>
      </w:r>
    </w:p>
    <w:p w14:paraId="0C867E15" w14:textId="77777777" w:rsidR="007447E7" w:rsidRDefault="007447E7" w:rsidP="007447E7">
      <w:pPr>
        <w:spacing w:after="0"/>
        <w:jc w:val="both"/>
      </w:pPr>
    </w:p>
    <w:p w14:paraId="1E9FB583" w14:textId="77777777" w:rsidR="007447E7" w:rsidRDefault="007447E7" w:rsidP="007447E7">
      <w:pPr>
        <w:spacing w:after="0"/>
        <w:jc w:val="both"/>
        <w:rPr>
          <w:b/>
          <w:bCs/>
        </w:rPr>
      </w:pPr>
      <w:r w:rsidRPr="007D0735">
        <w:rPr>
          <w:b/>
          <w:bCs/>
        </w:rPr>
        <w:t>Description générale</w:t>
      </w:r>
    </w:p>
    <w:p w14:paraId="700319CF" w14:textId="77777777" w:rsidR="007447E7" w:rsidRPr="007D0735" w:rsidRDefault="007447E7" w:rsidP="007447E7">
      <w:pPr>
        <w:spacing w:after="0"/>
        <w:jc w:val="both"/>
        <w:rPr>
          <w:b/>
          <w:bCs/>
        </w:rPr>
      </w:pPr>
    </w:p>
    <w:p w14:paraId="42021562" w14:textId="743E3AB9" w:rsidR="007447E7" w:rsidRDefault="00921B1A" w:rsidP="007447E7">
      <w:pPr>
        <w:spacing w:after="0"/>
        <w:jc w:val="both"/>
      </w:pPr>
      <w:r>
        <w:t>Ces dispositifs de recharge</w:t>
      </w:r>
      <w:r w:rsidR="004A10B0">
        <w:t>, conformes à la marque de qualité volontaire EV READY</w:t>
      </w:r>
      <w:r w:rsidR="00712D52">
        <w:t>,</w:t>
      </w:r>
      <w:r w:rsidR="006D3066">
        <w:t xml:space="preserve"> seront</w:t>
      </w:r>
      <w:r>
        <w:t xml:space="preserve"> de</w:t>
      </w:r>
      <w:r w:rsidR="00BB6BF6">
        <w:t>s</w:t>
      </w:r>
      <w:r>
        <w:t xml:space="preserve"> bornes de recharge</w:t>
      </w:r>
      <w:r w:rsidR="00BB6BF6">
        <w:t xml:space="preserve"> conformes à la norme IEC 61851-1, de</w:t>
      </w:r>
      <w:r w:rsidR="00EE561E">
        <w:t xml:space="preserve"> type</w:t>
      </w:r>
      <w:r>
        <w:t xml:space="preserve"> GREEN’UP HOME</w:t>
      </w:r>
      <w:r w:rsidR="007447E7">
        <w:t xml:space="preserve">. </w:t>
      </w:r>
      <w:r w:rsidR="008B0AA9">
        <w:t>D’une puissance de 3,7 KW ou de 7,4 KW</w:t>
      </w:r>
      <w:r w:rsidR="00E521D7">
        <w:t>, elles devront respecter les exigences suivantes</w:t>
      </w:r>
      <w:r w:rsidR="007447E7">
        <w:t xml:space="preserve"> : </w:t>
      </w:r>
    </w:p>
    <w:p w14:paraId="64FB1BC1" w14:textId="6477E01F" w:rsidR="007447E7" w:rsidRDefault="00E521D7" w:rsidP="007447E7">
      <w:pPr>
        <w:pStyle w:val="Paragraphedeliste"/>
        <w:numPr>
          <w:ilvl w:val="0"/>
          <w:numId w:val="4"/>
        </w:numPr>
        <w:spacing w:after="0"/>
        <w:jc w:val="both"/>
      </w:pPr>
      <w:r>
        <w:t xml:space="preserve">Être IP55 afin </w:t>
      </w:r>
      <w:r w:rsidR="00CA6484">
        <w:t>d’être installée aussi bien en intérieur qu’en extérieur</w:t>
      </w:r>
    </w:p>
    <w:p w14:paraId="10649C13" w14:textId="25DCF12E" w:rsidR="007447E7" w:rsidRDefault="00211AF9" w:rsidP="007447E7">
      <w:pPr>
        <w:pStyle w:val="Paragraphedeliste"/>
        <w:numPr>
          <w:ilvl w:val="0"/>
          <w:numId w:val="4"/>
        </w:numPr>
        <w:spacing w:after="0"/>
        <w:jc w:val="both"/>
      </w:pPr>
      <w:r>
        <w:t xml:space="preserve">Être pilotable par la </w:t>
      </w:r>
      <w:r w:rsidR="005A359A">
        <w:t>fonction TIC du compteur LINKY</w:t>
      </w:r>
    </w:p>
    <w:p w14:paraId="7EC43A06" w14:textId="6BD24724" w:rsidR="007447E7" w:rsidRDefault="0007088B" w:rsidP="007447E7">
      <w:pPr>
        <w:pStyle w:val="Paragraphedeliste"/>
        <w:numPr>
          <w:ilvl w:val="0"/>
          <w:numId w:val="4"/>
        </w:numPr>
        <w:spacing w:after="0"/>
        <w:jc w:val="both"/>
      </w:pPr>
      <w:r>
        <w:t>Être pilotable à distance à partir d’un smartphone</w:t>
      </w:r>
      <w:r w:rsidR="000252DC">
        <w:t xml:space="preserve"> (</w:t>
      </w:r>
      <w:r w:rsidR="00315A15">
        <w:t xml:space="preserve">Etat de la charge, </w:t>
      </w:r>
      <w:r w:rsidR="000252DC">
        <w:t xml:space="preserve">alerte fin de charge, </w:t>
      </w:r>
      <w:r w:rsidR="008B509D">
        <w:t>verrouillage de l’accès à la recharge à distance, possibilité de planifier ses recharges,</w:t>
      </w:r>
      <w:r w:rsidR="00A70DC3">
        <w:t xml:space="preserve"> en kW qu’en </w:t>
      </w:r>
      <w:r w:rsidR="00075FA1">
        <w:t>€</w:t>
      </w:r>
      <w:r w:rsidR="00782A7A">
        <w:t>)</w:t>
      </w:r>
      <w:r w:rsidR="00075FA1">
        <w:t>.</w:t>
      </w:r>
    </w:p>
    <w:p w14:paraId="48F2F011" w14:textId="78484073" w:rsidR="007447E7" w:rsidRDefault="007D798E" w:rsidP="007447E7">
      <w:pPr>
        <w:pStyle w:val="Paragraphedeliste"/>
        <w:numPr>
          <w:ilvl w:val="0"/>
          <w:numId w:val="4"/>
        </w:numPr>
        <w:spacing w:after="0"/>
        <w:jc w:val="both"/>
      </w:pPr>
      <w:r>
        <w:t>Être équipé</w:t>
      </w:r>
      <w:r w:rsidR="00264C00">
        <w:t xml:space="preserve">e d’un point de charge mode 2 </w:t>
      </w:r>
      <w:r w:rsidR="00654077">
        <w:t>en complément du point de charge mode 3.</w:t>
      </w:r>
      <w:r w:rsidR="0059627C">
        <w:t xml:space="preserve"> Le connecteur de type E s</w:t>
      </w:r>
      <w:r w:rsidR="001E63A3">
        <w:t>era conforme à la norme NF C 61-314</w:t>
      </w:r>
    </w:p>
    <w:p w14:paraId="2AF087A1" w14:textId="48601ACA" w:rsidR="007447E7" w:rsidRDefault="007E6D20" w:rsidP="007447E7">
      <w:pPr>
        <w:pStyle w:val="Paragraphedeliste"/>
        <w:numPr>
          <w:ilvl w:val="0"/>
          <w:numId w:val="4"/>
        </w:numPr>
        <w:spacing w:after="0"/>
        <w:jc w:val="both"/>
      </w:pPr>
      <w:r>
        <w:t xml:space="preserve">Être équipée d’une protection </w:t>
      </w:r>
      <w:r w:rsidR="00D334F0">
        <w:t>différentielle 30mA de type A ou F</w:t>
      </w:r>
    </w:p>
    <w:p w14:paraId="689001F4" w14:textId="77777777" w:rsidR="007447E7" w:rsidRDefault="007447E7" w:rsidP="007447E7">
      <w:pPr>
        <w:pStyle w:val="Paragraphedeliste"/>
        <w:spacing w:after="0"/>
        <w:jc w:val="both"/>
      </w:pPr>
    </w:p>
    <w:p w14:paraId="4EF3FFE8" w14:textId="77777777" w:rsidR="007447E7" w:rsidRDefault="007447E7" w:rsidP="007447E7">
      <w:pPr>
        <w:spacing w:after="0"/>
        <w:jc w:val="both"/>
      </w:pPr>
    </w:p>
    <w:p w14:paraId="01AD3BF4" w14:textId="77777777" w:rsidR="007447E7" w:rsidRPr="00547449" w:rsidRDefault="007447E7" w:rsidP="007447E7">
      <w:pPr>
        <w:spacing w:after="0"/>
        <w:jc w:val="both"/>
        <w:rPr>
          <w:b/>
          <w:bCs/>
        </w:rPr>
      </w:pPr>
      <w:r w:rsidRPr="00547449">
        <w:rPr>
          <w:b/>
          <w:bCs/>
        </w:rPr>
        <w:t>Type d’installation</w:t>
      </w:r>
    </w:p>
    <w:p w14:paraId="6DE1BCDB" w14:textId="77777777" w:rsidR="007447E7" w:rsidRDefault="007447E7" w:rsidP="007447E7">
      <w:pPr>
        <w:spacing w:after="0"/>
        <w:jc w:val="both"/>
      </w:pPr>
    </w:p>
    <w:p w14:paraId="766B324A" w14:textId="5548AE2A" w:rsidR="007447E7" w:rsidRDefault="007447E7" w:rsidP="007447E7">
      <w:pPr>
        <w:spacing w:after="0"/>
        <w:jc w:val="both"/>
      </w:pPr>
      <w:r>
        <w:t>L</w:t>
      </w:r>
      <w:r w:rsidR="00315A15">
        <w:t>e dispositif de recharge</w:t>
      </w:r>
      <w:r>
        <w:t xml:space="preserve"> </w:t>
      </w:r>
      <w:r w:rsidR="00C413BE">
        <w:t>pour</w:t>
      </w:r>
      <w:r>
        <w:t>ra être install</w:t>
      </w:r>
      <w:r w:rsidR="00315A15">
        <w:t>é</w:t>
      </w:r>
      <w:r>
        <w:t xml:space="preserve"> aussi bien en intérieur qu’en extérieur. Il devra pouvoir être fixé sur un mur</w:t>
      </w:r>
      <w:r w:rsidR="00C413BE">
        <w:t xml:space="preserve"> ou sur pied</w:t>
      </w:r>
      <w:r>
        <w:t>.</w:t>
      </w:r>
    </w:p>
    <w:p w14:paraId="09753DB8" w14:textId="77777777" w:rsidR="007447E7" w:rsidRDefault="007447E7" w:rsidP="007447E7">
      <w:pPr>
        <w:spacing w:after="0"/>
        <w:jc w:val="both"/>
      </w:pPr>
    </w:p>
    <w:p w14:paraId="15956BD7" w14:textId="2ADF022E" w:rsidR="007447E7" w:rsidRDefault="007447E7" w:rsidP="007447E7">
      <w:pPr>
        <w:spacing w:after="0"/>
        <w:jc w:val="both"/>
      </w:pPr>
    </w:p>
    <w:p w14:paraId="36C9C0E7" w14:textId="567799E4" w:rsidR="00750783" w:rsidRDefault="00A00EF0" w:rsidP="007447E7">
      <w:pPr>
        <w:spacing w:after="0"/>
        <w:jc w:val="both"/>
      </w:pPr>
      <w:r w:rsidRPr="00A00EF0">
        <w:rPr>
          <w:noProof/>
        </w:rPr>
        <w:t xml:space="preserve"> </w:t>
      </w:r>
      <w:r>
        <w:rPr>
          <w:noProof/>
        </w:rPr>
        <w:drawing>
          <wp:inline distT="0" distB="0" distL="0" distR="0" wp14:anchorId="6F19BD49" wp14:editId="5A4EFB0F">
            <wp:extent cx="1019959" cy="1617811"/>
            <wp:effectExtent l="0" t="0" r="8890" b="1905"/>
            <wp:docPr id="9" name="Image 8" descr="Une image contenant souris d’ordinateur, Appareil électronique, gadget, périphérique&#10;&#10;Description générée automatiquement">
              <a:extLst xmlns:a="http://schemas.openxmlformats.org/drawingml/2006/main">
                <a:ext uri="{FF2B5EF4-FFF2-40B4-BE49-F238E27FC236}">
                  <a16:creationId xmlns:a16="http://schemas.microsoft.com/office/drawing/2014/main" id="{E6D2F258-9F33-78BC-88BF-14EC04423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souris d’ordinateur, Appareil électronique, gadget, périphérique&#10;&#10;Description générée automatiquement">
                      <a:extLst>
                        <a:ext uri="{FF2B5EF4-FFF2-40B4-BE49-F238E27FC236}">
                          <a16:creationId xmlns:a16="http://schemas.microsoft.com/office/drawing/2014/main" id="{E6D2F258-9F33-78BC-88BF-14EC04423502}"/>
                        </a:ext>
                      </a:extLst>
                    </pic:cNvPr>
                    <pic:cNvPicPr>
                      <a:picLocks noChangeAspect="1"/>
                    </pic:cNvPicPr>
                  </pic:nvPicPr>
                  <pic:blipFill>
                    <a:blip r:embed="rId7"/>
                    <a:stretch>
                      <a:fillRect/>
                    </a:stretch>
                  </pic:blipFill>
                  <pic:spPr>
                    <a:xfrm flipH="1">
                      <a:off x="0" y="0"/>
                      <a:ext cx="1076055" cy="1706789"/>
                    </a:xfrm>
                    <a:prstGeom prst="rect">
                      <a:avLst/>
                    </a:prstGeom>
                  </pic:spPr>
                </pic:pic>
              </a:graphicData>
            </a:graphic>
          </wp:inline>
        </w:drawing>
      </w:r>
    </w:p>
    <w:p w14:paraId="1EF8D09C" w14:textId="607866A2" w:rsidR="00773986" w:rsidRDefault="00750783" w:rsidP="00931B9B">
      <w:pPr>
        <w:spacing w:after="0"/>
      </w:pPr>
      <w:r>
        <w:tab/>
      </w:r>
      <w:r>
        <w:tab/>
      </w:r>
    </w:p>
    <w:p w14:paraId="1AC734C5" w14:textId="77777777" w:rsidR="00FD5EE7" w:rsidRDefault="00773986" w:rsidP="00931B9B">
      <w:pPr>
        <w:spacing w:after="0"/>
        <w:rPr>
          <w:sz w:val="16"/>
          <w:szCs w:val="16"/>
        </w:rPr>
      </w:pPr>
      <w:r w:rsidRPr="00773986">
        <w:rPr>
          <w:sz w:val="16"/>
          <w:szCs w:val="16"/>
        </w:rPr>
        <w:t>Photos non contractuelles</w:t>
      </w:r>
    </w:p>
    <w:p w14:paraId="2489BF6F" w14:textId="77777777" w:rsidR="00FD5EE7" w:rsidRDefault="00FD5EE7" w:rsidP="00032CCF">
      <w:pPr>
        <w:spacing w:after="0"/>
        <w:rPr>
          <w:sz w:val="16"/>
          <w:szCs w:val="16"/>
        </w:rPr>
      </w:pPr>
    </w:p>
    <w:p w14:paraId="1466D7E4" w14:textId="77777777" w:rsidR="00931B9B" w:rsidRDefault="00931B9B" w:rsidP="00032CCF">
      <w:pPr>
        <w:spacing w:after="0"/>
        <w:rPr>
          <w:sz w:val="16"/>
          <w:szCs w:val="16"/>
        </w:rPr>
      </w:pPr>
    </w:p>
    <w:p w14:paraId="23CCF2D9" w14:textId="77777777" w:rsidR="00FD5EE7" w:rsidRPr="00DE5409" w:rsidRDefault="00FD5EE7" w:rsidP="00032CCF">
      <w:pPr>
        <w:spacing w:after="0"/>
        <w:rPr>
          <w:b/>
          <w:bCs/>
        </w:rPr>
      </w:pPr>
      <w:r w:rsidRPr="00DE5409">
        <w:rPr>
          <w:b/>
          <w:bCs/>
        </w:rPr>
        <w:t xml:space="preserve">Références commerciales : </w:t>
      </w:r>
    </w:p>
    <w:p w14:paraId="4DABC5E5" w14:textId="25B9CE53" w:rsidR="00B07B2F" w:rsidRDefault="006D34EB" w:rsidP="00B07B2F">
      <w:pPr>
        <w:spacing w:after="0"/>
      </w:pPr>
      <w:r w:rsidRPr="00DF637C">
        <w:t xml:space="preserve">Legrand </w:t>
      </w:r>
      <w:r w:rsidRPr="00DF637C">
        <w:rPr>
          <w:b/>
          <w:bCs/>
        </w:rPr>
        <w:t>r</w:t>
      </w:r>
      <w:r w:rsidR="00B07B2F" w:rsidRPr="00DF637C">
        <w:rPr>
          <w:b/>
          <w:bCs/>
        </w:rPr>
        <w:t xml:space="preserve">éf. </w:t>
      </w:r>
      <w:r w:rsidR="00FD5EE7" w:rsidRPr="00DF637C">
        <w:rPr>
          <w:b/>
          <w:bCs/>
        </w:rPr>
        <w:t>05</w:t>
      </w:r>
      <w:r w:rsidR="001C6BAA" w:rsidRPr="00DF637C">
        <w:rPr>
          <w:b/>
          <w:bCs/>
        </w:rPr>
        <w:t>70</w:t>
      </w:r>
      <w:r w:rsidR="00A84F6A">
        <w:rPr>
          <w:b/>
          <w:bCs/>
        </w:rPr>
        <w:t>30</w:t>
      </w:r>
      <w:r w:rsidRPr="00DF637C">
        <w:t xml:space="preserve"> : </w:t>
      </w:r>
      <w:r w:rsidR="00292D4A" w:rsidRPr="00DF637C">
        <w:t>GREEN</w:t>
      </w:r>
      <w:r w:rsidR="00DF7E0D" w:rsidRPr="00DF637C">
        <w:t xml:space="preserve">’UP HOME </w:t>
      </w:r>
      <w:r w:rsidR="00E13BE3" w:rsidRPr="00DF637C">
        <w:t xml:space="preserve">monophasée 3,7 </w:t>
      </w:r>
      <w:r w:rsidR="002B556F" w:rsidRPr="00DF637C">
        <w:t xml:space="preserve">kW livrée </w:t>
      </w:r>
      <w:r w:rsidR="00696F53">
        <w:t>sans</w:t>
      </w:r>
      <w:r w:rsidR="002B556F" w:rsidRPr="00DF637C">
        <w:t xml:space="preserve"> protection</w:t>
      </w:r>
    </w:p>
    <w:p w14:paraId="591428F0" w14:textId="69CFB27D" w:rsidR="00DC02AB" w:rsidRPr="00DC02AB" w:rsidRDefault="00DC02AB" w:rsidP="00B07B2F">
      <w:pPr>
        <w:spacing w:after="0"/>
      </w:pPr>
      <w:r w:rsidRPr="00DF637C">
        <w:t xml:space="preserve">Legrand </w:t>
      </w:r>
      <w:r w:rsidRPr="00DF637C">
        <w:rPr>
          <w:b/>
          <w:bCs/>
        </w:rPr>
        <w:t>réf. 0570</w:t>
      </w:r>
      <w:r>
        <w:rPr>
          <w:b/>
          <w:bCs/>
        </w:rPr>
        <w:t>03</w:t>
      </w:r>
      <w:r w:rsidRPr="00DF637C">
        <w:t xml:space="preserve"> : GREEN’UP HOME monophasée 3,7 kW livrée </w:t>
      </w:r>
      <w:r>
        <w:t>avec</w:t>
      </w:r>
      <w:r w:rsidRPr="00DF637C">
        <w:t xml:space="preserve"> protection</w:t>
      </w:r>
    </w:p>
    <w:p w14:paraId="09DC4A22" w14:textId="4D97A877" w:rsidR="00483EC5" w:rsidRPr="00A00EF0" w:rsidRDefault="006D34EB" w:rsidP="00B07B2F">
      <w:pPr>
        <w:spacing w:after="0"/>
      </w:pPr>
      <w:r w:rsidRPr="00A00EF0">
        <w:t xml:space="preserve">Legrand </w:t>
      </w:r>
      <w:r w:rsidRPr="00A00EF0">
        <w:rPr>
          <w:b/>
          <w:bCs/>
        </w:rPr>
        <w:t>r</w:t>
      </w:r>
      <w:r w:rsidR="00B07B2F" w:rsidRPr="00A00EF0">
        <w:rPr>
          <w:b/>
          <w:bCs/>
        </w:rPr>
        <w:t>éf. 05</w:t>
      </w:r>
      <w:r w:rsidR="00292D4A" w:rsidRPr="00A00EF0">
        <w:rPr>
          <w:b/>
          <w:bCs/>
        </w:rPr>
        <w:t>70</w:t>
      </w:r>
      <w:r w:rsidR="00696F53" w:rsidRPr="00A00EF0">
        <w:rPr>
          <w:b/>
          <w:bCs/>
        </w:rPr>
        <w:t>31</w:t>
      </w:r>
      <w:r w:rsidR="00C87431" w:rsidRPr="00A00EF0">
        <w:t xml:space="preserve"> : </w:t>
      </w:r>
      <w:r w:rsidR="00E13BE3" w:rsidRPr="00A00EF0">
        <w:t>GREEN’UP HOME</w:t>
      </w:r>
      <w:r w:rsidR="00641742" w:rsidRPr="00A00EF0">
        <w:rPr>
          <w:sz w:val="16"/>
          <w:szCs w:val="16"/>
        </w:rPr>
        <w:tab/>
      </w:r>
      <w:r w:rsidR="004A5DE2" w:rsidRPr="00A00EF0">
        <w:t>monophasée 7,4 kW</w:t>
      </w:r>
      <w:r w:rsidR="002B556F" w:rsidRPr="00A00EF0">
        <w:t xml:space="preserve"> livrée </w:t>
      </w:r>
      <w:r w:rsidR="00696F53" w:rsidRPr="00A00EF0">
        <w:t>sans</w:t>
      </w:r>
      <w:r w:rsidR="002B556F" w:rsidRPr="00A00EF0">
        <w:t xml:space="preserve"> protection</w:t>
      </w:r>
    </w:p>
    <w:p w14:paraId="6254BBF1" w14:textId="2638CFDA" w:rsidR="00DC02AB" w:rsidRPr="00A00EF0" w:rsidRDefault="00DC02AB" w:rsidP="00B07B2F">
      <w:pPr>
        <w:spacing w:after="0"/>
      </w:pPr>
      <w:r w:rsidRPr="00A00EF0">
        <w:t xml:space="preserve">Legrand </w:t>
      </w:r>
      <w:r w:rsidRPr="00A00EF0">
        <w:rPr>
          <w:b/>
          <w:bCs/>
        </w:rPr>
        <w:t>réf. 057004</w:t>
      </w:r>
      <w:r w:rsidRPr="00A00EF0">
        <w:t xml:space="preserve"> : GREEN’UP HOME</w:t>
      </w:r>
      <w:r w:rsidRPr="00A00EF0">
        <w:rPr>
          <w:sz w:val="16"/>
          <w:szCs w:val="16"/>
        </w:rPr>
        <w:tab/>
      </w:r>
      <w:r w:rsidRPr="00A00EF0">
        <w:t>monophasée 7,4 kW livrée avec protection</w:t>
      </w:r>
    </w:p>
    <w:p w14:paraId="5A9F7451" w14:textId="588B8068" w:rsidR="002B556F" w:rsidRPr="004D4CA0" w:rsidRDefault="004D4CA0" w:rsidP="00B07B2F">
      <w:pPr>
        <w:spacing w:after="0"/>
        <w:rPr>
          <w:sz w:val="16"/>
          <w:szCs w:val="16"/>
        </w:rPr>
      </w:pPr>
      <w:r w:rsidRPr="004D4CA0">
        <w:t xml:space="preserve">Legrand </w:t>
      </w:r>
      <w:r w:rsidRPr="00D314AA">
        <w:rPr>
          <w:b/>
          <w:bCs/>
        </w:rPr>
        <w:t>réf. 057057</w:t>
      </w:r>
      <w:r w:rsidRPr="004D4CA0">
        <w:t xml:space="preserve"> : Pied de fixation p</w:t>
      </w:r>
      <w:r>
        <w:t xml:space="preserve">our </w:t>
      </w:r>
      <w:r w:rsidR="00D314AA">
        <w:t>bornes de recharge VE GREEN’UP HOME</w:t>
      </w:r>
    </w:p>
    <w:sectPr w:rsidR="002B556F" w:rsidRPr="004D4CA0" w:rsidSect="006E5630">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CB05" w14:textId="77777777" w:rsidR="00BD52B6" w:rsidRDefault="00BD52B6" w:rsidP="00DD0457">
      <w:pPr>
        <w:spacing w:after="0" w:line="240" w:lineRule="auto"/>
      </w:pPr>
      <w:r>
        <w:separator/>
      </w:r>
    </w:p>
  </w:endnote>
  <w:endnote w:type="continuationSeparator" w:id="0">
    <w:p w14:paraId="6F6889E6" w14:textId="77777777" w:rsidR="00BD52B6" w:rsidRDefault="00BD52B6" w:rsidP="00DD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609453"/>
      <w:docPartObj>
        <w:docPartGallery w:val="Page Numbers (Bottom of Page)"/>
        <w:docPartUnique/>
      </w:docPartObj>
    </w:sdtPr>
    <w:sdtContent>
      <w:p w14:paraId="3EF05203" w14:textId="23CCF045" w:rsidR="00DD0457" w:rsidRDefault="00DD0457" w:rsidP="00DD0457">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94BB" w14:textId="77777777" w:rsidR="00BD52B6" w:rsidRDefault="00BD52B6" w:rsidP="00DD0457">
      <w:pPr>
        <w:spacing w:after="0" w:line="240" w:lineRule="auto"/>
      </w:pPr>
      <w:r>
        <w:separator/>
      </w:r>
    </w:p>
  </w:footnote>
  <w:footnote w:type="continuationSeparator" w:id="0">
    <w:p w14:paraId="0DECD6CE" w14:textId="77777777" w:rsidR="00BD52B6" w:rsidRDefault="00BD52B6" w:rsidP="00DD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8A52" w14:textId="07673BE7" w:rsidR="00DD0457" w:rsidRDefault="00DD0457" w:rsidP="00DD0457">
    <w:pPr>
      <w:pStyle w:val="En-tte"/>
      <w:jc w:val="center"/>
    </w:pPr>
    <w:r>
      <w:rPr>
        <w:noProof/>
      </w:rPr>
      <w:drawing>
        <wp:inline distT="0" distB="0" distL="0" distR="0" wp14:anchorId="5C15412E" wp14:editId="479101F2">
          <wp:extent cx="815389" cy="196937"/>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886987" cy="214230"/>
                  </a:xfrm>
                  <a:prstGeom prst="rect">
                    <a:avLst/>
                  </a:prstGeom>
                </pic:spPr>
              </pic:pic>
            </a:graphicData>
          </a:graphic>
        </wp:inline>
      </w:drawing>
    </w:r>
    <w:r>
      <w:tab/>
      <w:t xml:space="preserve">CCTP pour </w:t>
    </w:r>
    <w:r w:rsidR="00E1658F">
      <w:t xml:space="preserve">résidentiel </w:t>
    </w:r>
    <w:r w:rsidR="001C635E">
      <w:t>individuel</w:t>
    </w:r>
    <w:r>
      <w:tab/>
    </w:r>
    <w:r>
      <w:rPr>
        <w:noProof/>
      </w:rPr>
      <w:drawing>
        <wp:inline distT="0" distB="0" distL="0" distR="0" wp14:anchorId="2B17DC6D" wp14:editId="4744D465">
          <wp:extent cx="543953" cy="362494"/>
          <wp:effectExtent l="0" t="0" r="889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609681" cy="406296"/>
                  </a:xfrm>
                  <a:prstGeom prst="rect">
                    <a:avLst/>
                  </a:prstGeom>
                </pic:spPr>
              </pic:pic>
            </a:graphicData>
          </a:graphic>
        </wp:inline>
      </w:drawing>
    </w:r>
  </w:p>
  <w:p w14:paraId="78AE0CF8" w14:textId="77777777" w:rsidR="00DD0457" w:rsidRDefault="00DD04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752"/>
    <w:multiLevelType w:val="hybridMultilevel"/>
    <w:tmpl w:val="D54E8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493671"/>
    <w:multiLevelType w:val="hybridMultilevel"/>
    <w:tmpl w:val="E8C0CB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9712ED"/>
    <w:multiLevelType w:val="hybridMultilevel"/>
    <w:tmpl w:val="602A7F3E"/>
    <w:lvl w:ilvl="0" w:tplc="DB746E30">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A573A"/>
    <w:multiLevelType w:val="hybridMultilevel"/>
    <w:tmpl w:val="3B243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B71902"/>
    <w:multiLevelType w:val="hybridMultilevel"/>
    <w:tmpl w:val="D30E80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648022">
    <w:abstractNumId w:val="3"/>
  </w:num>
  <w:num w:numId="2" w16cid:durableId="1863090106">
    <w:abstractNumId w:val="2"/>
  </w:num>
  <w:num w:numId="3" w16cid:durableId="175198282">
    <w:abstractNumId w:val="1"/>
  </w:num>
  <w:num w:numId="4" w16cid:durableId="1971666340">
    <w:abstractNumId w:val="0"/>
  </w:num>
  <w:num w:numId="5" w16cid:durableId="469519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0"/>
    <w:rsid w:val="00006FC7"/>
    <w:rsid w:val="00020C43"/>
    <w:rsid w:val="0002210B"/>
    <w:rsid w:val="000252DC"/>
    <w:rsid w:val="000328A8"/>
    <w:rsid w:val="00032CCF"/>
    <w:rsid w:val="0003482D"/>
    <w:rsid w:val="00053D3B"/>
    <w:rsid w:val="0007088B"/>
    <w:rsid w:val="000722F1"/>
    <w:rsid w:val="00075FA1"/>
    <w:rsid w:val="000779F6"/>
    <w:rsid w:val="000868F8"/>
    <w:rsid w:val="00087D6C"/>
    <w:rsid w:val="00091F0A"/>
    <w:rsid w:val="000B3D46"/>
    <w:rsid w:val="000C136D"/>
    <w:rsid w:val="0011136E"/>
    <w:rsid w:val="001452AB"/>
    <w:rsid w:val="001558B5"/>
    <w:rsid w:val="001905B9"/>
    <w:rsid w:val="001A0A48"/>
    <w:rsid w:val="001B1316"/>
    <w:rsid w:val="001B5252"/>
    <w:rsid w:val="001C635E"/>
    <w:rsid w:val="001C6BAA"/>
    <w:rsid w:val="001D7356"/>
    <w:rsid w:val="001E63A3"/>
    <w:rsid w:val="001F1FE3"/>
    <w:rsid w:val="00200428"/>
    <w:rsid w:val="00211AF9"/>
    <w:rsid w:val="00226A9A"/>
    <w:rsid w:val="0024717A"/>
    <w:rsid w:val="00264C00"/>
    <w:rsid w:val="0027067A"/>
    <w:rsid w:val="00292D4A"/>
    <w:rsid w:val="002934EC"/>
    <w:rsid w:val="002A3881"/>
    <w:rsid w:val="002A52FF"/>
    <w:rsid w:val="002A7B74"/>
    <w:rsid w:val="002B556F"/>
    <w:rsid w:val="002D1D0F"/>
    <w:rsid w:val="002E2B79"/>
    <w:rsid w:val="003062A8"/>
    <w:rsid w:val="00313851"/>
    <w:rsid w:val="00315A15"/>
    <w:rsid w:val="003162C6"/>
    <w:rsid w:val="00325DD0"/>
    <w:rsid w:val="00364998"/>
    <w:rsid w:val="0036622E"/>
    <w:rsid w:val="00367A6C"/>
    <w:rsid w:val="0037480D"/>
    <w:rsid w:val="00387C74"/>
    <w:rsid w:val="003A02B1"/>
    <w:rsid w:val="003A76C9"/>
    <w:rsid w:val="003C105D"/>
    <w:rsid w:val="003F4E66"/>
    <w:rsid w:val="003F7A8E"/>
    <w:rsid w:val="0041224E"/>
    <w:rsid w:val="00461EA2"/>
    <w:rsid w:val="004677A9"/>
    <w:rsid w:val="00483EC5"/>
    <w:rsid w:val="004A10B0"/>
    <w:rsid w:val="004A5DE2"/>
    <w:rsid w:val="004D4CA0"/>
    <w:rsid w:val="00500746"/>
    <w:rsid w:val="00512A16"/>
    <w:rsid w:val="00525448"/>
    <w:rsid w:val="00535333"/>
    <w:rsid w:val="005363AF"/>
    <w:rsid w:val="005403B1"/>
    <w:rsid w:val="00554478"/>
    <w:rsid w:val="00562B59"/>
    <w:rsid w:val="00574E91"/>
    <w:rsid w:val="0059627C"/>
    <w:rsid w:val="005A359A"/>
    <w:rsid w:val="00611684"/>
    <w:rsid w:val="00614AF2"/>
    <w:rsid w:val="00624F40"/>
    <w:rsid w:val="00641742"/>
    <w:rsid w:val="00647D04"/>
    <w:rsid w:val="00654077"/>
    <w:rsid w:val="0066196A"/>
    <w:rsid w:val="0067007A"/>
    <w:rsid w:val="00675BA9"/>
    <w:rsid w:val="00696F53"/>
    <w:rsid w:val="006A4A97"/>
    <w:rsid w:val="006D3066"/>
    <w:rsid w:val="006D34EB"/>
    <w:rsid w:val="006E1DF3"/>
    <w:rsid w:val="006E24B4"/>
    <w:rsid w:val="006E5630"/>
    <w:rsid w:val="007073CC"/>
    <w:rsid w:val="00712D52"/>
    <w:rsid w:val="007257F4"/>
    <w:rsid w:val="00734BA7"/>
    <w:rsid w:val="00736159"/>
    <w:rsid w:val="00744055"/>
    <w:rsid w:val="007447E7"/>
    <w:rsid w:val="00750783"/>
    <w:rsid w:val="00754085"/>
    <w:rsid w:val="00770A93"/>
    <w:rsid w:val="00773986"/>
    <w:rsid w:val="00782045"/>
    <w:rsid w:val="00782A7A"/>
    <w:rsid w:val="00782DFB"/>
    <w:rsid w:val="00791226"/>
    <w:rsid w:val="007A12B7"/>
    <w:rsid w:val="007A54CA"/>
    <w:rsid w:val="007A7C6E"/>
    <w:rsid w:val="007B0072"/>
    <w:rsid w:val="007B2E28"/>
    <w:rsid w:val="007D798E"/>
    <w:rsid w:val="007E16BB"/>
    <w:rsid w:val="007E6D20"/>
    <w:rsid w:val="007F4BF1"/>
    <w:rsid w:val="007F7E5F"/>
    <w:rsid w:val="008202C5"/>
    <w:rsid w:val="008251A4"/>
    <w:rsid w:val="008409D0"/>
    <w:rsid w:val="008439F3"/>
    <w:rsid w:val="00865AE4"/>
    <w:rsid w:val="008A6BB6"/>
    <w:rsid w:val="008B0AA9"/>
    <w:rsid w:val="008B509D"/>
    <w:rsid w:val="008C6647"/>
    <w:rsid w:val="008E389B"/>
    <w:rsid w:val="008E3AE6"/>
    <w:rsid w:val="008F1696"/>
    <w:rsid w:val="009017EE"/>
    <w:rsid w:val="0091037F"/>
    <w:rsid w:val="00921B1A"/>
    <w:rsid w:val="00926D9C"/>
    <w:rsid w:val="00931B9B"/>
    <w:rsid w:val="009430B4"/>
    <w:rsid w:val="009527DB"/>
    <w:rsid w:val="009642E4"/>
    <w:rsid w:val="009714BA"/>
    <w:rsid w:val="00986F59"/>
    <w:rsid w:val="0098748B"/>
    <w:rsid w:val="009924BF"/>
    <w:rsid w:val="009A581E"/>
    <w:rsid w:val="009C445A"/>
    <w:rsid w:val="009D72C2"/>
    <w:rsid w:val="009E25A6"/>
    <w:rsid w:val="00A00EF0"/>
    <w:rsid w:val="00A120B9"/>
    <w:rsid w:val="00A24C6D"/>
    <w:rsid w:val="00A31C8F"/>
    <w:rsid w:val="00A419D6"/>
    <w:rsid w:val="00A70DC3"/>
    <w:rsid w:val="00A84F6A"/>
    <w:rsid w:val="00AC760D"/>
    <w:rsid w:val="00AE397B"/>
    <w:rsid w:val="00AF6465"/>
    <w:rsid w:val="00B069E5"/>
    <w:rsid w:val="00B07B2F"/>
    <w:rsid w:val="00B54BB6"/>
    <w:rsid w:val="00B90CDC"/>
    <w:rsid w:val="00B916C7"/>
    <w:rsid w:val="00BA461C"/>
    <w:rsid w:val="00BB1813"/>
    <w:rsid w:val="00BB6818"/>
    <w:rsid w:val="00BB6BF6"/>
    <w:rsid w:val="00BC063D"/>
    <w:rsid w:val="00BD52B6"/>
    <w:rsid w:val="00C04192"/>
    <w:rsid w:val="00C07C18"/>
    <w:rsid w:val="00C413BE"/>
    <w:rsid w:val="00C76612"/>
    <w:rsid w:val="00C87431"/>
    <w:rsid w:val="00CA6484"/>
    <w:rsid w:val="00D30AB4"/>
    <w:rsid w:val="00D314AA"/>
    <w:rsid w:val="00D334F0"/>
    <w:rsid w:val="00D34204"/>
    <w:rsid w:val="00D4750E"/>
    <w:rsid w:val="00D47D5B"/>
    <w:rsid w:val="00D56BF0"/>
    <w:rsid w:val="00D81414"/>
    <w:rsid w:val="00D8330C"/>
    <w:rsid w:val="00D85C76"/>
    <w:rsid w:val="00DC02AB"/>
    <w:rsid w:val="00DC5089"/>
    <w:rsid w:val="00DD0457"/>
    <w:rsid w:val="00DD30B0"/>
    <w:rsid w:val="00DE5409"/>
    <w:rsid w:val="00DF637C"/>
    <w:rsid w:val="00DF7E0D"/>
    <w:rsid w:val="00E13BE3"/>
    <w:rsid w:val="00E1658F"/>
    <w:rsid w:val="00E25719"/>
    <w:rsid w:val="00E521D7"/>
    <w:rsid w:val="00E52897"/>
    <w:rsid w:val="00E6483A"/>
    <w:rsid w:val="00E76F01"/>
    <w:rsid w:val="00EA0738"/>
    <w:rsid w:val="00EC62B3"/>
    <w:rsid w:val="00ED2E25"/>
    <w:rsid w:val="00EE561E"/>
    <w:rsid w:val="00F05442"/>
    <w:rsid w:val="00F0638A"/>
    <w:rsid w:val="00F345F3"/>
    <w:rsid w:val="00F41DD8"/>
    <w:rsid w:val="00F53F75"/>
    <w:rsid w:val="00F86B78"/>
    <w:rsid w:val="00FC7020"/>
    <w:rsid w:val="00FD0EC7"/>
    <w:rsid w:val="00FD5EE7"/>
    <w:rsid w:val="00FE4738"/>
    <w:rsid w:val="00FF1CC5"/>
    <w:rsid w:val="00FF5B86"/>
    <w:rsid w:val="00FF7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1B69"/>
  <w15:chartTrackingRefBased/>
  <w15:docId w15:val="{8E7189A8-51CF-4D4A-82BB-0A3CD484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A93"/>
    <w:pPr>
      <w:ind w:left="720"/>
      <w:contextualSpacing/>
    </w:pPr>
  </w:style>
  <w:style w:type="paragraph" w:styleId="En-tte">
    <w:name w:val="header"/>
    <w:basedOn w:val="Normal"/>
    <w:link w:val="En-tteCar"/>
    <w:uiPriority w:val="99"/>
    <w:unhideWhenUsed/>
    <w:rsid w:val="00DD0457"/>
    <w:pPr>
      <w:tabs>
        <w:tab w:val="center" w:pos="4536"/>
        <w:tab w:val="right" w:pos="9072"/>
      </w:tabs>
      <w:spacing w:after="0" w:line="240" w:lineRule="auto"/>
    </w:pPr>
  </w:style>
  <w:style w:type="character" w:customStyle="1" w:styleId="En-tteCar">
    <w:name w:val="En-tête Car"/>
    <w:basedOn w:val="Policepardfaut"/>
    <w:link w:val="En-tte"/>
    <w:uiPriority w:val="99"/>
    <w:rsid w:val="00DD0457"/>
  </w:style>
  <w:style w:type="paragraph" w:styleId="Pieddepage">
    <w:name w:val="footer"/>
    <w:basedOn w:val="Normal"/>
    <w:link w:val="PieddepageCar"/>
    <w:uiPriority w:val="99"/>
    <w:unhideWhenUsed/>
    <w:rsid w:val="00DD0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457"/>
  </w:style>
  <w:style w:type="paragraph" w:styleId="NormalWeb">
    <w:name w:val="Normal (Web)"/>
    <w:basedOn w:val="Normal"/>
    <w:uiPriority w:val="99"/>
    <w:unhideWhenUsed/>
    <w:rsid w:val="00F41D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4564</TotalTime>
  <Pages>2</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CHEVALIER</dc:creator>
  <cp:keywords/>
  <dc:description/>
  <cp:lastModifiedBy>Fabien CHEVALIER</cp:lastModifiedBy>
  <cp:revision>162</cp:revision>
  <cp:lastPrinted>2023-09-14T08:16:00Z</cp:lastPrinted>
  <dcterms:created xsi:type="dcterms:W3CDTF">2024-03-13T07:48:00Z</dcterms:created>
  <dcterms:modified xsi:type="dcterms:W3CDTF">2024-06-03T09:24:00Z</dcterms:modified>
</cp:coreProperties>
</file>